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D7" w:rsidRPr="007001D7" w:rsidRDefault="007001D7" w:rsidP="007001D7">
      <w:pPr>
        <w:widowControl w:val="0"/>
        <w:autoSpaceDE w:val="0"/>
        <w:autoSpaceDN w:val="0"/>
        <w:adjustRightInd w:val="0"/>
        <w:spacing w:line="20" w:lineRule="atLeast"/>
        <w:contextualSpacing/>
        <w:mirrorIndents/>
        <w:jc w:val="right"/>
        <w:outlineLvl w:val="0"/>
        <w:rPr>
          <w:sz w:val="26"/>
          <w:szCs w:val="26"/>
        </w:rPr>
      </w:pPr>
      <w:r w:rsidRPr="007001D7">
        <w:rPr>
          <w:sz w:val="26"/>
          <w:szCs w:val="26"/>
        </w:rPr>
        <w:t xml:space="preserve">Приложение </w:t>
      </w:r>
    </w:p>
    <w:p w:rsidR="007001D7" w:rsidRPr="007001D7" w:rsidRDefault="007001D7" w:rsidP="007001D7">
      <w:pPr>
        <w:widowControl w:val="0"/>
        <w:autoSpaceDE w:val="0"/>
        <w:autoSpaceDN w:val="0"/>
        <w:adjustRightInd w:val="0"/>
        <w:spacing w:line="20" w:lineRule="atLeast"/>
        <w:contextualSpacing/>
        <w:mirrorIndents/>
        <w:jc w:val="right"/>
        <w:outlineLvl w:val="0"/>
        <w:rPr>
          <w:sz w:val="26"/>
          <w:szCs w:val="26"/>
        </w:rPr>
      </w:pPr>
      <w:r w:rsidRPr="007001D7">
        <w:rPr>
          <w:sz w:val="26"/>
          <w:szCs w:val="26"/>
        </w:rPr>
        <w:t xml:space="preserve">Решением Совета Депутатов </w:t>
      </w:r>
    </w:p>
    <w:p w:rsidR="007001D7" w:rsidRPr="007001D7" w:rsidRDefault="007001D7" w:rsidP="007001D7">
      <w:pPr>
        <w:widowControl w:val="0"/>
        <w:autoSpaceDE w:val="0"/>
        <w:autoSpaceDN w:val="0"/>
        <w:adjustRightInd w:val="0"/>
        <w:spacing w:line="20" w:lineRule="atLeast"/>
        <w:contextualSpacing/>
        <w:mirrorIndents/>
        <w:jc w:val="right"/>
        <w:outlineLvl w:val="0"/>
        <w:rPr>
          <w:sz w:val="26"/>
          <w:szCs w:val="26"/>
        </w:rPr>
      </w:pPr>
      <w:r w:rsidRPr="007001D7">
        <w:rPr>
          <w:sz w:val="26"/>
          <w:szCs w:val="26"/>
        </w:rPr>
        <w:t xml:space="preserve">городского поселения </w:t>
      </w:r>
      <w:proofErr w:type="spellStart"/>
      <w:r w:rsidRPr="007001D7">
        <w:rPr>
          <w:sz w:val="26"/>
          <w:szCs w:val="26"/>
        </w:rPr>
        <w:t>Талинка</w:t>
      </w:r>
      <w:proofErr w:type="spellEnd"/>
    </w:p>
    <w:p w:rsidR="007001D7" w:rsidRPr="007001D7" w:rsidRDefault="007001D7" w:rsidP="007001D7">
      <w:pPr>
        <w:widowControl w:val="0"/>
        <w:autoSpaceDE w:val="0"/>
        <w:autoSpaceDN w:val="0"/>
        <w:adjustRightInd w:val="0"/>
        <w:spacing w:line="20" w:lineRule="atLeast"/>
        <w:contextualSpacing/>
        <w:mirrorIndents/>
        <w:jc w:val="right"/>
        <w:rPr>
          <w:sz w:val="26"/>
          <w:szCs w:val="26"/>
        </w:rPr>
      </w:pPr>
      <w:r w:rsidRPr="007001D7">
        <w:rPr>
          <w:sz w:val="26"/>
          <w:szCs w:val="26"/>
        </w:rPr>
        <w:t>от 31.08.2021 года № 36</w:t>
      </w:r>
    </w:p>
    <w:p w:rsidR="007001D7" w:rsidRPr="007001D7" w:rsidRDefault="007001D7" w:rsidP="007001D7">
      <w:pPr>
        <w:widowControl w:val="0"/>
        <w:autoSpaceDE w:val="0"/>
        <w:autoSpaceDN w:val="0"/>
        <w:adjustRightInd w:val="0"/>
        <w:spacing w:line="20" w:lineRule="atLeast"/>
        <w:contextualSpacing/>
        <w:mirrorIndents/>
        <w:jc w:val="both"/>
        <w:rPr>
          <w:sz w:val="26"/>
          <w:szCs w:val="26"/>
        </w:rPr>
      </w:pPr>
    </w:p>
    <w:p w:rsidR="007001D7" w:rsidRPr="007001D7" w:rsidRDefault="007001D7" w:rsidP="007001D7">
      <w:pPr>
        <w:widowControl w:val="0"/>
        <w:autoSpaceDE w:val="0"/>
        <w:autoSpaceDN w:val="0"/>
        <w:adjustRightInd w:val="0"/>
        <w:spacing w:line="20" w:lineRule="atLeast"/>
        <w:contextualSpacing/>
        <w:mirrorIndents/>
        <w:jc w:val="center"/>
        <w:rPr>
          <w:b/>
          <w:bCs/>
          <w:sz w:val="26"/>
          <w:szCs w:val="26"/>
        </w:rPr>
      </w:pPr>
      <w:bookmarkStart w:id="0" w:name="Par39"/>
      <w:bookmarkEnd w:id="0"/>
      <w:r w:rsidRPr="007001D7">
        <w:rPr>
          <w:b/>
          <w:bCs/>
          <w:sz w:val="26"/>
          <w:szCs w:val="26"/>
        </w:rPr>
        <w:t>ПОЛОЖЕНИЕ</w:t>
      </w:r>
    </w:p>
    <w:p w:rsidR="007001D7" w:rsidRPr="007001D7" w:rsidRDefault="007001D7" w:rsidP="007001D7">
      <w:pPr>
        <w:widowControl w:val="0"/>
        <w:autoSpaceDE w:val="0"/>
        <w:autoSpaceDN w:val="0"/>
        <w:adjustRightInd w:val="0"/>
        <w:spacing w:line="20" w:lineRule="atLeast"/>
        <w:contextualSpacing/>
        <w:mirrorIndents/>
        <w:jc w:val="center"/>
        <w:rPr>
          <w:sz w:val="26"/>
          <w:szCs w:val="26"/>
        </w:rPr>
      </w:pPr>
      <w:r w:rsidRPr="007001D7">
        <w:rPr>
          <w:sz w:val="26"/>
          <w:szCs w:val="26"/>
        </w:rPr>
        <w:t>О муниципальном жилищном контроле на территории</w:t>
      </w:r>
    </w:p>
    <w:p w:rsidR="007001D7" w:rsidRPr="007001D7" w:rsidRDefault="007001D7" w:rsidP="007001D7">
      <w:pPr>
        <w:widowControl w:val="0"/>
        <w:autoSpaceDE w:val="0"/>
        <w:autoSpaceDN w:val="0"/>
        <w:adjustRightInd w:val="0"/>
        <w:spacing w:line="20" w:lineRule="atLeast"/>
        <w:contextualSpacing/>
        <w:mirrorIndents/>
        <w:jc w:val="center"/>
        <w:rPr>
          <w:b/>
          <w:sz w:val="26"/>
          <w:szCs w:val="26"/>
        </w:rPr>
      </w:pPr>
      <w:r w:rsidRPr="007001D7">
        <w:rPr>
          <w:sz w:val="26"/>
          <w:szCs w:val="26"/>
        </w:rPr>
        <w:t xml:space="preserve">городского поселения </w:t>
      </w:r>
      <w:proofErr w:type="spellStart"/>
      <w:r w:rsidRPr="007001D7">
        <w:rPr>
          <w:sz w:val="26"/>
          <w:szCs w:val="26"/>
        </w:rPr>
        <w:t>Талинка</w:t>
      </w:r>
      <w:proofErr w:type="spellEnd"/>
    </w:p>
    <w:p w:rsidR="007001D7" w:rsidRPr="007001D7" w:rsidRDefault="007001D7" w:rsidP="007001D7">
      <w:pPr>
        <w:widowControl w:val="0"/>
        <w:autoSpaceDE w:val="0"/>
        <w:autoSpaceDN w:val="0"/>
        <w:adjustRightInd w:val="0"/>
        <w:spacing w:line="20" w:lineRule="atLeast"/>
        <w:contextualSpacing/>
        <w:mirrorIndents/>
        <w:jc w:val="center"/>
        <w:rPr>
          <w:b/>
          <w:sz w:val="26"/>
          <w:szCs w:val="26"/>
        </w:rPr>
      </w:pPr>
      <w:r w:rsidRPr="007001D7">
        <w:rPr>
          <w:b/>
          <w:sz w:val="26"/>
          <w:szCs w:val="26"/>
        </w:rPr>
        <w:t xml:space="preserve"> </w:t>
      </w:r>
    </w:p>
    <w:p w:rsidR="007001D7" w:rsidRDefault="007001D7" w:rsidP="007001D7">
      <w:pPr>
        <w:widowControl w:val="0"/>
        <w:shd w:val="clear" w:color="auto" w:fill="FFFFFF"/>
        <w:autoSpaceDE w:val="0"/>
        <w:autoSpaceDN w:val="0"/>
        <w:adjustRightInd w:val="0"/>
        <w:ind w:firstLine="708"/>
        <w:jc w:val="both"/>
        <w:rPr>
          <w:spacing w:val="2"/>
          <w:sz w:val="26"/>
          <w:szCs w:val="26"/>
        </w:rPr>
      </w:pPr>
      <w:bookmarkStart w:id="1" w:name="_GoBack"/>
      <w:bookmarkEnd w:id="1"/>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 xml:space="preserve">118. Жалоба подается контролируемым лицом </w:t>
      </w:r>
      <w:proofErr w:type="gramStart"/>
      <w:r w:rsidRPr="00586492">
        <w:rPr>
          <w:spacing w:val="2"/>
          <w:sz w:val="26"/>
          <w:szCs w:val="26"/>
        </w:rPr>
        <w:t>в</w:t>
      </w:r>
      <w:proofErr w:type="gramEnd"/>
      <w:r w:rsidRPr="00586492">
        <w:rPr>
          <w:spacing w:val="2"/>
          <w:sz w:val="26"/>
          <w:szCs w:val="26"/>
        </w:rPr>
        <w:t xml:space="preserve"> </w:t>
      </w:r>
      <w:proofErr w:type="gramStart"/>
      <w:r w:rsidRPr="00586492">
        <w:rPr>
          <w:spacing w:val="2"/>
          <w:sz w:val="26"/>
          <w:szCs w:val="26"/>
        </w:rPr>
        <w:t>уполномоченный</w:t>
      </w:r>
      <w:proofErr w:type="gramEnd"/>
      <w:r w:rsidRPr="00586492">
        <w:rPr>
          <w:spacing w:val="2"/>
          <w:sz w:val="26"/>
          <w:szCs w:val="26"/>
        </w:rPr>
        <w:t xml:space="preserve">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если жалоба, содержащая сведения и документы, составляющие государственную или иную охраняемую законом тайну.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roofErr w:type="gramStart"/>
      <w:r w:rsidRPr="00586492">
        <w:rPr>
          <w:spacing w:val="2"/>
          <w:sz w:val="26"/>
          <w:szCs w:val="26"/>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5" w:anchor="dst100430" w:history="1">
        <w:r w:rsidRPr="00586492">
          <w:rPr>
            <w:rStyle w:val="a3"/>
            <w:spacing w:val="2"/>
            <w:sz w:val="26"/>
            <w:szCs w:val="26"/>
          </w:rPr>
          <w:t>частью 2</w:t>
        </w:r>
      </w:hyperlink>
      <w:r w:rsidRPr="00586492">
        <w:rPr>
          <w:spacing w:val="2"/>
          <w:sz w:val="26"/>
          <w:szCs w:val="26"/>
        </w:rPr>
        <w:t>  статьи 40 ФЗ 248</w:t>
      </w:r>
      <w:r w:rsidRPr="00586492">
        <w:rPr>
          <w:sz w:val="26"/>
          <w:szCs w:val="26"/>
        </w:rPr>
        <w:t xml:space="preserve"> </w:t>
      </w:r>
      <w:r w:rsidRPr="00586492">
        <w:rPr>
          <w:spacing w:val="2"/>
          <w:sz w:val="26"/>
          <w:szCs w:val="26"/>
        </w:rPr>
        <w:t>"О государственном контроле (надзоре) и муниципальном контроле в Российской Федерации",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w:t>
      </w:r>
      <w:proofErr w:type="gramEnd"/>
      <w:r w:rsidRPr="00586492">
        <w:rPr>
          <w:spacing w:val="2"/>
          <w:sz w:val="26"/>
          <w:szCs w:val="26"/>
        </w:rPr>
        <w:t xml:space="preserve"> положением о виде контроля, с учетом требований законодательства Российской Федерации о государственной и иной охраняемой законом тайне.</w:t>
      </w:r>
    </w:p>
    <w:p w:rsidR="007001D7" w:rsidRPr="00B370C4" w:rsidRDefault="007001D7" w:rsidP="007001D7">
      <w:pPr>
        <w:ind w:firstLine="709"/>
        <w:jc w:val="both"/>
        <w:rPr>
          <w:sz w:val="26"/>
          <w:szCs w:val="26"/>
          <w:shd w:val="clear" w:color="auto" w:fill="FFFFFF"/>
        </w:rPr>
      </w:pPr>
      <w:r w:rsidRPr="00B370C4">
        <w:rPr>
          <w:sz w:val="26"/>
          <w:szCs w:val="26"/>
          <w:shd w:val="clear" w:color="auto" w:fill="FFFFFF"/>
        </w:rPr>
        <w:t xml:space="preserve">Жалоба рассматривается в порядке и в сроки, предусмотренные статьей 43 Федерального закона </w:t>
      </w:r>
      <w:r>
        <w:rPr>
          <w:sz w:val="26"/>
          <w:szCs w:val="26"/>
          <w:shd w:val="clear" w:color="auto" w:fill="FFFFFF"/>
        </w:rPr>
        <w:t>№</w:t>
      </w:r>
      <w:r w:rsidRPr="00B370C4">
        <w:rPr>
          <w:sz w:val="26"/>
          <w:szCs w:val="26"/>
          <w:shd w:val="clear" w:color="auto" w:fill="FFFFFF"/>
        </w:rPr>
        <w:t xml:space="preserve"> 248-ФЗ.</w:t>
      </w:r>
    </w:p>
    <w:p w:rsidR="007001D7" w:rsidRPr="00E61922" w:rsidRDefault="007001D7" w:rsidP="007001D7">
      <w:pPr>
        <w:ind w:firstLine="709"/>
        <w:jc w:val="both"/>
        <w:rPr>
          <w:sz w:val="26"/>
          <w:szCs w:val="26"/>
          <w:shd w:val="clear" w:color="auto" w:fill="FFFFFF"/>
        </w:rPr>
      </w:pPr>
      <w:r w:rsidRPr="00B370C4">
        <w:rPr>
          <w:sz w:val="26"/>
          <w:szCs w:val="26"/>
          <w:shd w:val="clear" w:color="auto" w:fill="FFFFFF"/>
        </w:rPr>
        <w:t>Случаи продления сроков рассмотрения жалобы отсутствуют.</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1) решений о проведении контрольных мероприятий;</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2) актов контрольных мероприятий, предписаний об устранении выявленных нарушений;</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3) действий (бездействия) должностных лиц контрольного органа в рамках контрольных мероприятий.</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 Жалоба может содержать ходатайство о приостановлении исполнения обжалуемого решения контрольного органа.</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Уполномоченный на рассмотрение жалобы орган в срок не позднее двух рабочих дней со дня регистрации жалобы принимает решение:</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1) о приостановлении исполнения обжалуемого решения контрольного органа;</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2) об отказе в приостановлении исполнения обжалуемого решения контрольного органа.</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 xml:space="preserve">Информация о решении, указанном в </w:t>
      </w:r>
      <w:hyperlink r:id="rId6" w:anchor="dst100430" w:history="1">
        <w:r w:rsidRPr="00586492">
          <w:rPr>
            <w:rStyle w:val="a3"/>
            <w:spacing w:val="2"/>
            <w:sz w:val="26"/>
            <w:szCs w:val="26"/>
          </w:rPr>
          <w:t>части 2</w:t>
        </w:r>
      </w:hyperlink>
      <w:r w:rsidRPr="00586492">
        <w:rPr>
          <w:spacing w:val="2"/>
          <w:sz w:val="26"/>
          <w:szCs w:val="26"/>
        </w:rPr>
        <w:t>  статьи 40 ФЗ 248</w:t>
      </w:r>
      <w:r w:rsidRPr="00586492">
        <w:rPr>
          <w:sz w:val="26"/>
          <w:szCs w:val="26"/>
        </w:rPr>
        <w:t xml:space="preserve"> </w:t>
      </w:r>
      <w:r w:rsidRPr="00586492">
        <w:rPr>
          <w:spacing w:val="2"/>
          <w:sz w:val="26"/>
          <w:szCs w:val="26"/>
        </w:rPr>
        <w:t>"О государственном контроле (надзоре) и муниципальном контроле в Российской Федерации", </w:t>
      </w:r>
      <w:hyperlink r:id="rId7" w:anchor="dst100445" w:history="1">
        <w:r w:rsidRPr="00586492">
          <w:rPr>
            <w:rStyle w:val="a3"/>
            <w:spacing w:val="2"/>
            <w:sz w:val="26"/>
            <w:szCs w:val="26"/>
          </w:rPr>
          <w:t>части 10</w:t>
        </w:r>
      </w:hyperlink>
      <w:r w:rsidRPr="00586492">
        <w:rPr>
          <w:spacing w:val="2"/>
          <w:sz w:val="26"/>
          <w:szCs w:val="26"/>
        </w:rPr>
        <w:t>   статьи 40 ФЗ 248</w:t>
      </w:r>
      <w:r w:rsidRPr="00586492">
        <w:rPr>
          <w:sz w:val="26"/>
          <w:szCs w:val="26"/>
        </w:rPr>
        <w:t xml:space="preserve"> </w:t>
      </w:r>
      <w:r w:rsidRPr="00586492">
        <w:rPr>
          <w:spacing w:val="2"/>
          <w:sz w:val="26"/>
          <w:szCs w:val="26"/>
        </w:rPr>
        <w:t>"О государственном контроле (надзоре) и муниципальном контроле в Российской Федерации", направляется лицу, подавшему жалобу, в течение одного рабочего дня с момента принятия решения</w:t>
      </w:r>
      <w:proofErr w:type="gramStart"/>
      <w:r w:rsidRPr="00586492">
        <w:rPr>
          <w:spacing w:val="2"/>
          <w:sz w:val="26"/>
          <w:szCs w:val="26"/>
        </w:rPr>
        <w:t>.»</w:t>
      </w:r>
      <w:proofErr w:type="gramEnd"/>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Уполномоченный на рассмотрение жалобы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 xml:space="preserve"> Уполномоченные на рассмотрение жалоб органы должны обеспечить передачу в подсистему досудебного обжалования контрольной деятельности сведений о ходе рассмотрения жалоб.</w:t>
      </w:r>
    </w:p>
    <w:p w:rsidR="007001D7" w:rsidRPr="00586492" w:rsidRDefault="007001D7" w:rsidP="007001D7">
      <w:pPr>
        <w:widowControl w:val="0"/>
        <w:shd w:val="clear" w:color="auto" w:fill="FFFFFF"/>
        <w:autoSpaceDE w:val="0"/>
        <w:autoSpaceDN w:val="0"/>
        <w:adjustRightInd w:val="0"/>
        <w:ind w:firstLine="708"/>
        <w:jc w:val="both"/>
        <w:rPr>
          <w:spacing w:val="2"/>
          <w:sz w:val="26"/>
          <w:szCs w:val="26"/>
        </w:rPr>
      </w:pPr>
      <w:r w:rsidRPr="00586492">
        <w:rPr>
          <w:spacing w:val="2"/>
          <w:sz w:val="26"/>
          <w:szCs w:val="26"/>
        </w:rPr>
        <w:t>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2570C9" w:rsidRDefault="002570C9"/>
    <w:sectPr w:rsidR="00257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92"/>
    <w:rsid w:val="002570C9"/>
    <w:rsid w:val="00601C92"/>
    <w:rsid w:val="00700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D7"/>
    <w:pPr>
      <w:spacing w:after="0" w:line="240" w:lineRule="auto"/>
    </w:pPr>
    <w:rPr>
      <w:rFonts w:ascii="Times New Roman" w:eastAsia="Times New Roman" w:hAnsi="Times New Roman" w:cs="Times New Roman"/>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001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D7"/>
    <w:pPr>
      <w:spacing w:after="0" w:line="240" w:lineRule="auto"/>
    </w:pPr>
    <w:rPr>
      <w:rFonts w:ascii="Times New Roman" w:eastAsia="Times New Roman" w:hAnsi="Times New Roman" w:cs="Times New Roman"/>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00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89501/3a9b857944c37aab223eeda4559836814b39733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389501/3a9b857944c37aab223eeda4559836814b39733a/" TargetMode="External"/><Relationship Id="rId5" Type="http://schemas.openxmlformats.org/officeDocument/2006/relationships/hyperlink" Target="http://www.consultant.ru/document/cons_doc_LAW_389501/3a9b857944c37aab223eeda4559836814b39733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Умрахмат А. Идрисова</dc:creator>
  <cp:keywords/>
  <dc:description/>
  <cp:lastModifiedBy>Умрахмат А. Идрисова</cp:lastModifiedBy>
  <cp:revision>2</cp:revision>
  <dcterms:created xsi:type="dcterms:W3CDTF">2023-08-01T10:05:00Z</dcterms:created>
  <dcterms:modified xsi:type="dcterms:W3CDTF">2023-08-01T10:07:00Z</dcterms:modified>
</cp:coreProperties>
</file>